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6BCF396" w:rsidR="00C27BE9" w:rsidRPr="009D25B9" w:rsidRDefault="00C27BE9">
      <w:pPr>
        <w:shd w:val="clear" w:color="auto" w:fill="FFFFFF"/>
        <w:spacing w:after="0" w:line="240" w:lineRule="auto"/>
        <w:rPr>
          <w:rFonts w:ascii="Segoe UI" w:eastAsia="Quattrocento Sans" w:hAnsi="Segoe UI" w:cs="Segoe UI"/>
        </w:rPr>
      </w:pPr>
    </w:p>
    <w:p w14:paraId="00000003" w14:textId="18D4CDC4" w:rsidR="00C27BE9" w:rsidRPr="009D25B9" w:rsidRDefault="00B81DFB">
      <w:pPr>
        <w:shd w:val="clear" w:color="auto" w:fill="FFFFFF"/>
        <w:spacing w:after="0" w:line="240" w:lineRule="auto"/>
        <w:rPr>
          <w:rFonts w:ascii="Segoe UI" w:eastAsia="Quattrocento Sans" w:hAnsi="Segoe UI" w:cs="Segoe UI"/>
        </w:rPr>
      </w:pPr>
      <w:r>
        <w:rPr>
          <w:rFonts w:ascii="Segoe UI" w:eastAsia="Quattrocento Sans" w:hAnsi="Segoe UI" w:cs="Segoe UI"/>
        </w:rPr>
        <w:t>June XX</w:t>
      </w:r>
      <w:proofErr w:type="gramStart"/>
      <w:r>
        <w:rPr>
          <w:rFonts w:ascii="Segoe UI" w:eastAsia="Quattrocento Sans" w:hAnsi="Segoe UI" w:cs="Segoe UI"/>
        </w:rPr>
        <w:t xml:space="preserve"> </w:t>
      </w:r>
      <w:r w:rsidR="009D25B9" w:rsidRPr="009D25B9">
        <w:rPr>
          <w:rFonts w:ascii="Segoe UI" w:eastAsia="Quattrocento Sans" w:hAnsi="Segoe UI" w:cs="Segoe UI"/>
        </w:rPr>
        <w:t>2023</w:t>
      </w:r>
      <w:proofErr w:type="gramEnd"/>
    </w:p>
    <w:p w14:paraId="00000004" w14:textId="77777777" w:rsidR="00C27BE9" w:rsidRPr="009D25B9" w:rsidRDefault="00C27BE9">
      <w:pPr>
        <w:shd w:val="clear" w:color="auto" w:fill="FFFFFF"/>
        <w:spacing w:after="0" w:line="240" w:lineRule="auto"/>
        <w:rPr>
          <w:rFonts w:ascii="Segoe UI" w:eastAsia="Quattrocento Sans" w:hAnsi="Segoe UI" w:cs="Segoe UI"/>
          <w:b/>
          <w:sz w:val="18"/>
          <w:szCs w:val="18"/>
        </w:rPr>
      </w:pPr>
    </w:p>
    <w:p w14:paraId="00000005" w14:textId="77777777" w:rsidR="00C27BE9" w:rsidRPr="009D25B9" w:rsidRDefault="00C27BE9">
      <w:pPr>
        <w:shd w:val="clear" w:color="auto" w:fill="FFFFFF"/>
        <w:spacing w:after="0" w:line="240" w:lineRule="auto"/>
        <w:rPr>
          <w:rFonts w:ascii="Segoe UI" w:eastAsia="Quattrocento Sans" w:hAnsi="Segoe UI" w:cs="Segoe UI"/>
          <w:b/>
          <w:sz w:val="18"/>
          <w:szCs w:val="18"/>
        </w:rPr>
      </w:pPr>
    </w:p>
    <w:p w14:paraId="00000006" w14:textId="77777777" w:rsidR="00C27BE9" w:rsidRPr="009D25B9" w:rsidRDefault="009D25B9">
      <w:pPr>
        <w:shd w:val="clear" w:color="auto" w:fill="FFFFFF"/>
        <w:spacing w:after="0" w:line="240" w:lineRule="auto"/>
        <w:jc w:val="center"/>
        <w:rPr>
          <w:rFonts w:ascii="Segoe UI" w:eastAsia="Quattrocento Sans" w:hAnsi="Segoe UI" w:cs="Segoe UI"/>
          <w:b/>
        </w:rPr>
      </w:pPr>
      <w:r w:rsidRPr="009D25B9">
        <w:rPr>
          <w:rFonts w:ascii="Segoe UI" w:eastAsia="Quattrocento Sans" w:hAnsi="Segoe UI" w:cs="Segoe UI"/>
          <w:b/>
        </w:rPr>
        <w:t xml:space="preserve">QSAI Announces the Release of the Updated Special Meal Codes, Definitions &amp; Interpretation Guidelines </w:t>
      </w:r>
    </w:p>
    <w:p w14:paraId="00000007" w14:textId="77777777" w:rsidR="00C27BE9" w:rsidRPr="009D25B9" w:rsidRDefault="00C27BE9">
      <w:pPr>
        <w:shd w:val="clear" w:color="auto" w:fill="FFFFFF"/>
        <w:spacing w:after="0" w:line="240" w:lineRule="auto"/>
        <w:rPr>
          <w:rFonts w:ascii="Segoe UI" w:eastAsia="Quattrocento Sans" w:hAnsi="Segoe UI" w:cs="Segoe UI"/>
          <w:b/>
          <w:sz w:val="18"/>
          <w:szCs w:val="18"/>
        </w:rPr>
      </w:pPr>
    </w:p>
    <w:p w14:paraId="00000008" w14:textId="77777777" w:rsidR="00C27BE9" w:rsidRPr="009D25B9" w:rsidRDefault="00C27BE9">
      <w:pPr>
        <w:shd w:val="clear" w:color="auto" w:fill="FFFFFF"/>
        <w:spacing w:after="0" w:line="240" w:lineRule="auto"/>
        <w:rPr>
          <w:rFonts w:ascii="Segoe UI" w:eastAsia="Quattrocento Sans" w:hAnsi="Segoe UI" w:cs="Segoe UI"/>
          <w:b/>
          <w:sz w:val="18"/>
          <w:szCs w:val="18"/>
        </w:rPr>
      </w:pPr>
    </w:p>
    <w:p w14:paraId="00000009" w14:textId="6945331E" w:rsidR="00C27BE9" w:rsidRPr="009D25B9" w:rsidRDefault="009D25B9">
      <w:pPr>
        <w:spacing w:line="240" w:lineRule="auto"/>
        <w:rPr>
          <w:rFonts w:ascii="Segoe UI" w:eastAsia="Quattrocento Sans" w:hAnsi="Segoe UI" w:cs="Segoe UI"/>
        </w:rPr>
      </w:pPr>
      <w:r w:rsidRPr="009D25B9">
        <w:rPr>
          <w:rFonts w:ascii="Segoe UI" w:eastAsia="Quattrocento Sans" w:hAnsi="Segoe UI" w:cs="Segoe UI"/>
          <w:b/>
          <w:color w:val="222222"/>
          <w:highlight w:val="white"/>
        </w:rPr>
        <w:t xml:space="preserve">Montreal, Quebec </w:t>
      </w:r>
      <w:r w:rsidR="00B81DFB">
        <w:rPr>
          <w:rFonts w:ascii="Segoe UI" w:eastAsia="Quattrocento Sans" w:hAnsi="Segoe UI" w:cs="Segoe UI"/>
          <w:b/>
          <w:color w:val="222222"/>
          <w:highlight w:val="white"/>
        </w:rPr>
        <w:t>June</w:t>
      </w:r>
      <w:r w:rsidRPr="009D25B9">
        <w:rPr>
          <w:rFonts w:ascii="Segoe UI" w:eastAsia="Quattrocento Sans" w:hAnsi="Segoe UI" w:cs="Segoe UI"/>
          <w:b/>
          <w:color w:val="222222"/>
          <w:highlight w:val="white"/>
        </w:rPr>
        <w:t xml:space="preserve"> XX, 2023</w:t>
      </w:r>
      <w:r w:rsidRPr="009D25B9">
        <w:rPr>
          <w:rFonts w:ascii="Segoe UI" w:eastAsia="Quattrocento Sans" w:hAnsi="Segoe UI" w:cs="Segoe UI"/>
          <w:color w:val="222222"/>
          <w:highlight w:val="white"/>
        </w:rPr>
        <w:t xml:space="preserve"> – </w:t>
      </w:r>
      <w:r w:rsidRPr="009D25B9">
        <w:rPr>
          <w:rFonts w:ascii="Segoe UI" w:eastAsia="Quattrocento Sans" w:hAnsi="Segoe UI" w:cs="Segoe UI"/>
        </w:rPr>
        <w:t>The Quality &amp; Safety Alliance for Inflight Services (QSAI) and the Airline Catering Association (ACA) are pleased to announce the release of the updated QSAI Special Meal (SPML) Codes, Definitions, and Interpretation Guidelines (version 2.0). These comprehensive guidelines aim to strengthen onboard catering industry standards by developing Special Meal menus that cater to the diverse dietary needs and preferences of all travelers.</w:t>
      </w:r>
    </w:p>
    <w:p w14:paraId="0000000A" w14:textId="06E5E680" w:rsidR="00C27BE9" w:rsidRPr="009D25B9" w:rsidRDefault="009D25B9">
      <w:pPr>
        <w:spacing w:line="240" w:lineRule="auto"/>
        <w:jc w:val="center"/>
        <w:rPr>
          <w:rFonts w:ascii="Segoe UI" w:eastAsia="Quattrocento Sans" w:hAnsi="Segoe UI" w:cs="Segoe UI"/>
        </w:rPr>
      </w:pPr>
      <w:r w:rsidRPr="009D25B9">
        <w:rPr>
          <w:rFonts w:ascii="Segoe UI" w:eastAsia="Quattrocento Sans" w:hAnsi="Segoe UI" w:cs="Segoe UI"/>
          <w:b/>
        </w:rPr>
        <w:t xml:space="preserve">Now available on: </w:t>
      </w:r>
      <w:hyperlink r:id="rId8">
        <w:r w:rsidRPr="009D25B9">
          <w:rPr>
            <w:rFonts w:ascii="Segoe UI" w:eastAsia="Quattrocento Sans" w:hAnsi="Segoe UI" w:cs="Segoe UI"/>
            <w:b/>
            <w:color w:val="0000FF"/>
            <w:u w:val="single"/>
          </w:rPr>
          <w:t xml:space="preserve">QSAI | Quality &amp; Safety Alliance for In-flight </w:t>
        </w:r>
        <w:r w:rsidR="007A4B08" w:rsidRPr="009D25B9">
          <w:rPr>
            <w:rFonts w:ascii="Segoe UI" w:eastAsia="Quattrocento Sans" w:hAnsi="Segoe UI" w:cs="Segoe UI"/>
            <w:b/>
            <w:color w:val="0000FF"/>
            <w:u w:val="single"/>
          </w:rPr>
          <w:t>Services</w:t>
        </w:r>
        <w:r w:rsidRPr="009D25B9">
          <w:rPr>
            <w:rFonts w:ascii="Segoe UI" w:eastAsia="Quattrocento Sans" w:hAnsi="Segoe UI" w:cs="Segoe UI"/>
            <w:b/>
            <w:color w:val="0000FF"/>
            <w:u w:val="single"/>
          </w:rPr>
          <w:t xml:space="preserve"> (qsaiinternational.com)</w:t>
        </w:r>
      </w:hyperlink>
    </w:p>
    <w:p w14:paraId="0000000B" w14:textId="77777777" w:rsidR="00C27BE9" w:rsidRPr="009D25B9" w:rsidRDefault="009D25B9">
      <w:pPr>
        <w:spacing w:line="240" w:lineRule="auto"/>
        <w:rPr>
          <w:rFonts w:ascii="Segoe UI" w:eastAsia="Quattrocento Sans" w:hAnsi="Segoe UI" w:cs="Segoe UI"/>
        </w:rPr>
      </w:pPr>
      <w:r w:rsidRPr="009D25B9">
        <w:rPr>
          <w:rFonts w:ascii="Segoe UI" w:eastAsia="Quattrocento Sans" w:hAnsi="Segoe UI" w:cs="Segoe UI"/>
          <w:b/>
        </w:rPr>
        <w:t>Addressing the Growing Need for Special Meals</w:t>
      </w:r>
    </w:p>
    <w:p w14:paraId="0000000C" w14:textId="77777777" w:rsidR="00C27BE9" w:rsidRPr="009D25B9" w:rsidRDefault="009D25B9">
      <w:pPr>
        <w:spacing w:line="240" w:lineRule="auto"/>
        <w:rPr>
          <w:rFonts w:ascii="Segoe UI" w:eastAsia="Quattrocento Sans" w:hAnsi="Segoe UI" w:cs="Segoe UI"/>
        </w:rPr>
      </w:pPr>
      <w:r w:rsidRPr="009D25B9">
        <w:rPr>
          <w:rFonts w:ascii="Segoe UI" w:eastAsia="Quattrocento Sans" w:hAnsi="Segoe UI" w:cs="Segoe UI"/>
        </w:rPr>
        <w:t xml:space="preserve">Special Meals have become an essential aspect of the airline and railway food service regime. In recent years, Special Meal Codes and Definitions have </w:t>
      </w:r>
      <w:proofErr w:type="gramStart"/>
      <w:r w:rsidRPr="009D25B9">
        <w:rPr>
          <w:rFonts w:ascii="Segoe UI" w:eastAsia="Quattrocento Sans" w:hAnsi="Segoe UI" w:cs="Segoe UI"/>
        </w:rPr>
        <w:t>lagged behind</w:t>
      </w:r>
      <w:proofErr w:type="gramEnd"/>
      <w:r w:rsidRPr="009D25B9">
        <w:rPr>
          <w:rFonts w:ascii="Segoe UI" w:eastAsia="Quattrocento Sans" w:hAnsi="Segoe UI" w:cs="Segoe UI"/>
        </w:rPr>
        <w:t xml:space="preserve"> changing legislation, causing confusion within the industry when creating Special Meal menus. Medina Quality (MQ), an IATA Strategic Partner and administrator of Special Meal requirements as part of its role in QSAI, conducted a global review of current legislative, dietary, and religious requirements to ensure harmony and international compliance when it comes to preparing SPMLs.</w:t>
      </w:r>
    </w:p>
    <w:p w14:paraId="0000000D" w14:textId="77777777" w:rsidR="00C27BE9" w:rsidRPr="009D25B9" w:rsidRDefault="009D25B9">
      <w:pPr>
        <w:spacing w:line="240" w:lineRule="auto"/>
        <w:rPr>
          <w:rFonts w:ascii="Segoe UI" w:eastAsia="Quattrocento Sans" w:hAnsi="Segoe UI" w:cs="Segoe UI"/>
        </w:rPr>
      </w:pPr>
      <w:r w:rsidRPr="009D25B9">
        <w:rPr>
          <w:rFonts w:ascii="Segoe UI" w:eastAsia="Quattrocento Sans" w:hAnsi="Segoe UI" w:cs="Segoe UI"/>
        </w:rPr>
        <w:t>Over 40 onboard caterers and QSAI Airline Alliance members, including Air Canada, Air France, Air Tahiti Nui, All Nippon Airways, Eurostar International, KLM Royal Dutch Airlines, Singapore Airlines, and Virgin Atlantic, were surveyed during the process.</w:t>
      </w:r>
    </w:p>
    <w:p w14:paraId="0000000E" w14:textId="77777777" w:rsidR="00C27BE9" w:rsidRPr="009D25B9" w:rsidRDefault="009D25B9">
      <w:pPr>
        <w:spacing w:line="240" w:lineRule="auto"/>
        <w:rPr>
          <w:rFonts w:ascii="Segoe UI" w:eastAsia="Quattrocento Sans" w:hAnsi="Segoe UI" w:cs="Segoe UI"/>
          <w:b/>
        </w:rPr>
      </w:pPr>
      <w:r w:rsidRPr="009D25B9">
        <w:rPr>
          <w:rFonts w:ascii="Segoe UI" w:eastAsia="Quattrocento Sans" w:hAnsi="Segoe UI" w:cs="Segoe UI"/>
          <w:b/>
        </w:rPr>
        <w:t>Collaboration Between QSAI and ACA</w:t>
      </w:r>
    </w:p>
    <w:p w14:paraId="0000000F" w14:textId="7CC35693" w:rsidR="00C27BE9" w:rsidRPr="009D25B9" w:rsidRDefault="009D25B9">
      <w:pPr>
        <w:spacing w:line="240" w:lineRule="auto"/>
        <w:rPr>
          <w:rFonts w:ascii="Segoe UI" w:eastAsia="Quattrocento Sans" w:hAnsi="Segoe UI" w:cs="Segoe UI"/>
        </w:rPr>
      </w:pPr>
      <w:r w:rsidRPr="009D25B9">
        <w:rPr>
          <w:rFonts w:ascii="Segoe UI" w:eastAsia="Quattrocento Sans" w:hAnsi="Segoe UI" w:cs="Segoe UI"/>
        </w:rPr>
        <w:t xml:space="preserve">To involve all key stakeholders, QSAI collaborated with </w:t>
      </w:r>
      <w:r>
        <w:rPr>
          <w:rFonts w:ascii="Segoe UI" w:eastAsia="Quattrocento Sans" w:hAnsi="Segoe UI" w:cs="Segoe UI"/>
        </w:rPr>
        <w:t xml:space="preserve">the </w:t>
      </w:r>
      <w:r w:rsidRPr="009D25B9">
        <w:rPr>
          <w:rFonts w:ascii="Segoe UI" w:eastAsia="Quattrocento Sans" w:hAnsi="Segoe UI" w:cs="Segoe UI"/>
        </w:rPr>
        <w:t>ACA, who was also working on initiatives to update Special Meal Code Definitions for caterers. Together, QSAI and the ACA task force, composed of industry experts including Medina Quality, reviewed Special Meal Codes, proposed recommendations from survey participants, and revised Special Meal Codes to align with the current state of the industry. The ultimate objective is to further harmonize the application of Special Meal definitions globally.</w:t>
      </w:r>
    </w:p>
    <w:p w14:paraId="00000010" w14:textId="53160B70" w:rsidR="00C27BE9" w:rsidRPr="009D25B9" w:rsidRDefault="00000000">
      <w:pPr>
        <w:spacing w:line="240" w:lineRule="auto"/>
        <w:rPr>
          <w:rFonts w:ascii="Segoe UI" w:eastAsia="Quattrocento Sans" w:hAnsi="Segoe UI" w:cs="Segoe UI"/>
        </w:rPr>
      </w:pPr>
      <w:sdt>
        <w:sdtPr>
          <w:rPr>
            <w:rFonts w:ascii="Segoe UI" w:hAnsi="Segoe UI" w:cs="Segoe UI"/>
          </w:rPr>
          <w:tag w:val="goog_rdk_0"/>
          <w:id w:val="67160757"/>
        </w:sdtPr>
        <w:sdtContent/>
      </w:sdt>
      <w:r w:rsidR="009D25B9" w:rsidRPr="009D25B9">
        <w:rPr>
          <w:rFonts w:ascii="Segoe UI" w:eastAsia="Quattrocento Sans" w:hAnsi="Segoe UI" w:cs="Segoe UI"/>
        </w:rPr>
        <w:t xml:space="preserve">"Updating the Special Meal Codes is a crucial step towards enhancing the onboard catering experience for all passengers, regardless of their dietary needs and preferences," said </w:t>
      </w:r>
      <w:r w:rsidR="00B81DFB">
        <w:rPr>
          <w:rFonts w:ascii="Segoe UI" w:eastAsia="Quattrocento Sans" w:hAnsi="Segoe UI" w:cs="Segoe UI"/>
        </w:rPr>
        <w:t xml:space="preserve">David Medina, </w:t>
      </w:r>
      <w:r w:rsidR="00B81DFB">
        <w:rPr>
          <w:rFonts w:ascii="Segoe UI" w:eastAsia="Quattrocento Sans" w:hAnsi="Segoe UI" w:cs="Segoe UI"/>
        </w:rPr>
        <w:lastRenderedPageBreak/>
        <w:t>COO of Medina Quality</w:t>
      </w:r>
      <w:r w:rsidR="009D25B9" w:rsidRPr="009D25B9">
        <w:rPr>
          <w:rFonts w:ascii="Segoe UI" w:eastAsia="Quattrocento Sans" w:hAnsi="Segoe UI" w:cs="Segoe UI"/>
        </w:rPr>
        <w:t>. "This collaborative effort reflects our commitment to ensuring the highest standards of quality and safety in the airline catering industry."</w:t>
      </w:r>
    </w:p>
    <w:p w14:paraId="00000011" w14:textId="77777777" w:rsidR="00C27BE9" w:rsidRPr="009D25B9" w:rsidRDefault="009D25B9">
      <w:pPr>
        <w:spacing w:line="240" w:lineRule="auto"/>
        <w:rPr>
          <w:rFonts w:ascii="Segoe UI" w:eastAsia="Quattrocento Sans" w:hAnsi="Segoe UI" w:cs="Segoe UI"/>
        </w:rPr>
      </w:pPr>
      <w:r w:rsidRPr="009D25B9">
        <w:rPr>
          <w:rFonts w:ascii="Segoe UI" w:eastAsia="Quattrocento Sans" w:hAnsi="Segoe UI" w:cs="Segoe UI"/>
          <w:b/>
        </w:rPr>
        <w:t>About ACA</w:t>
      </w:r>
    </w:p>
    <w:p w14:paraId="00000012" w14:textId="77777777" w:rsidR="00C27BE9" w:rsidRPr="009D25B9" w:rsidRDefault="009D25B9">
      <w:pPr>
        <w:spacing w:line="240" w:lineRule="auto"/>
        <w:rPr>
          <w:rFonts w:ascii="Segoe UI" w:eastAsia="Quattrocento Sans" w:hAnsi="Segoe UI" w:cs="Segoe UI"/>
        </w:rPr>
      </w:pPr>
      <w:r w:rsidRPr="009D25B9">
        <w:rPr>
          <w:rFonts w:ascii="Segoe UI" w:eastAsia="Quattrocento Sans" w:hAnsi="Segoe UI" w:cs="Segoe UI"/>
        </w:rPr>
        <w:t>The Airline Catering Association (ACA) represents, promotes, and defends the common interests of the airline catering industry. Its aim is to provide a forum for cooperation among its members and the operators of the sector. In 2021, the combined workforce of inflight caterers reached around 150,000 worldwide, producing approximately 2.5 billion onboard meals.</w:t>
      </w:r>
    </w:p>
    <w:p w14:paraId="00000013" w14:textId="77777777" w:rsidR="00C27BE9" w:rsidRPr="009D25B9" w:rsidRDefault="009D25B9">
      <w:pPr>
        <w:spacing w:line="240" w:lineRule="auto"/>
        <w:rPr>
          <w:rFonts w:ascii="Segoe UI" w:eastAsia="Quattrocento Sans" w:hAnsi="Segoe UI" w:cs="Segoe UI"/>
          <w:b/>
        </w:rPr>
      </w:pPr>
      <w:r w:rsidRPr="009D25B9">
        <w:rPr>
          <w:rFonts w:ascii="Segoe UI" w:eastAsia="Quattrocento Sans" w:hAnsi="Segoe UI" w:cs="Segoe UI"/>
          <w:b/>
        </w:rPr>
        <w:t>About QSAI</w:t>
      </w:r>
    </w:p>
    <w:p w14:paraId="00000014" w14:textId="77777777" w:rsidR="00C27BE9" w:rsidRPr="009D25B9" w:rsidRDefault="009D25B9">
      <w:pPr>
        <w:spacing w:line="240" w:lineRule="auto"/>
        <w:rPr>
          <w:rFonts w:ascii="Segoe UI" w:eastAsia="Quattrocento Sans" w:hAnsi="Segoe UI" w:cs="Segoe UI"/>
        </w:rPr>
      </w:pPr>
      <w:r w:rsidRPr="009D25B9">
        <w:rPr>
          <w:rFonts w:ascii="Segoe UI" w:eastAsia="Quattrocento Sans" w:hAnsi="Segoe UI" w:cs="Segoe UI"/>
        </w:rPr>
        <w:t xml:space="preserve">Since 1983, Medina Quality (MQ) has been monitoring best practices in onboard catering. In 2011, the company launched QSAI, an alliance of the world's top airlines, railway operators, inflight caterers, industry leaders, and MQ. Together, they work to drive excellence in onboard catering. The QSAI </w:t>
      </w:r>
      <w:proofErr w:type="spellStart"/>
      <w:r w:rsidRPr="009D25B9">
        <w:rPr>
          <w:rFonts w:ascii="Segoe UI" w:eastAsia="Quattrocento Sans" w:hAnsi="Segoe UI" w:cs="Segoe UI"/>
        </w:rPr>
        <w:t>Programme</w:t>
      </w:r>
      <w:proofErr w:type="spellEnd"/>
      <w:r w:rsidRPr="009D25B9">
        <w:rPr>
          <w:rFonts w:ascii="Segoe UI" w:eastAsia="Quattrocento Sans" w:hAnsi="Segoe UI" w:cs="Segoe UI"/>
        </w:rPr>
        <w:t xml:space="preserve"> is the world's first and only program that allows QSAI Alliance Members to share the cost of monitoring and improving the safety and quality of onboard caterers according to industry benchmarked standards that tackle international legal requirements and current market trends.</w:t>
      </w:r>
    </w:p>
    <w:p w14:paraId="00000015" w14:textId="77777777" w:rsidR="00C27BE9" w:rsidRPr="009D25B9" w:rsidRDefault="009D25B9">
      <w:pPr>
        <w:spacing w:line="240" w:lineRule="auto"/>
        <w:rPr>
          <w:rFonts w:ascii="Segoe UI" w:eastAsia="Quattrocento Sans" w:hAnsi="Segoe UI" w:cs="Segoe UI"/>
          <w:b/>
        </w:rPr>
      </w:pPr>
      <w:r w:rsidRPr="009D25B9">
        <w:rPr>
          <w:rFonts w:ascii="Segoe UI" w:eastAsia="Quattrocento Sans" w:hAnsi="Segoe UI" w:cs="Segoe UI"/>
          <w:b/>
        </w:rPr>
        <w:t>Stay Connected</w:t>
      </w:r>
    </w:p>
    <w:p w14:paraId="00000016" w14:textId="77777777" w:rsidR="00C27BE9" w:rsidRPr="009D25B9" w:rsidRDefault="009D25B9">
      <w:pPr>
        <w:spacing w:after="0" w:line="240" w:lineRule="auto"/>
        <w:ind w:right="-206"/>
        <w:rPr>
          <w:rFonts w:ascii="Segoe UI" w:eastAsia="Quattrocento Sans" w:hAnsi="Segoe UI" w:cs="Segoe UI"/>
        </w:rPr>
      </w:pPr>
      <w:r w:rsidRPr="009D25B9">
        <w:rPr>
          <w:rFonts w:ascii="Segoe UI" w:eastAsia="Quattrocento Sans" w:hAnsi="Segoe UI" w:cs="Segoe UI"/>
          <w:color w:val="222222"/>
          <w:highlight w:val="white"/>
        </w:rPr>
        <w:t xml:space="preserve">Follow all the latest from the QSAI on </w:t>
      </w:r>
      <w:proofErr w:type="gramStart"/>
      <w:r w:rsidRPr="009D25B9">
        <w:rPr>
          <w:rFonts w:ascii="Segoe UI" w:eastAsia="Quattrocento Sans" w:hAnsi="Segoe UI" w:cs="Segoe UI"/>
          <w:color w:val="222222"/>
          <w:highlight w:val="white"/>
        </w:rPr>
        <w:t>LinkedIn, and</w:t>
      </w:r>
      <w:proofErr w:type="gramEnd"/>
      <w:r w:rsidRPr="009D25B9">
        <w:rPr>
          <w:rFonts w:ascii="Segoe UI" w:eastAsia="Quattrocento Sans" w:hAnsi="Segoe UI" w:cs="Segoe UI"/>
          <w:color w:val="222222"/>
          <w:highlight w:val="white"/>
        </w:rPr>
        <w:t xml:space="preserve"> get all the updates from Special Meals and the onboard catering industry on </w:t>
      </w:r>
      <w:hyperlink r:id="rId9">
        <w:r w:rsidRPr="009D25B9">
          <w:rPr>
            <w:rFonts w:ascii="Segoe UI" w:eastAsia="Quattrocento Sans" w:hAnsi="Segoe UI" w:cs="Segoe UI"/>
            <w:color w:val="1155CC"/>
            <w:highlight w:val="white"/>
            <w:u w:val="single"/>
          </w:rPr>
          <w:t>QSAI’s website</w:t>
        </w:r>
      </w:hyperlink>
      <w:r w:rsidRPr="009D25B9">
        <w:rPr>
          <w:rFonts w:ascii="Segoe UI" w:eastAsia="Quattrocento Sans" w:hAnsi="Segoe UI" w:cs="Segoe UI"/>
          <w:color w:val="222222"/>
          <w:highlight w:val="white"/>
        </w:rPr>
        <w:t xml:space="preserve">. </w:t>
      </w:r>
    </w:p>
    <w:p w14:paraId="00000017" w14:textId="77777777" w:rsidR="00C27BE9" w:rsidRPr="009D25B9" w:rsidRDefault="00C27BE9">
      <w:pPr>
        <w:spacing w:line="240" w:lineRule="auto"/>
        <w:rPr>
          <w:rFonts w:ascii="Segoe UI" w:eastAsia="Quattrocento Sans" w:hAnsi="Segoe UI" w:cs="Segoe UI"/>
        </w:rPr>
      </w:pPr>
    </w:p>
    <w:p w14:paraId="00000018" w14:textId="77777777" w:rsidR="00C27BE9" w:rsidRDefault="009D25B9">
      <w:pPr>
        <w:spacing w:line="240" w:lineRule="auto"/>
        <w:jc w:val="center"/>
        <w:rPr>
          <w:rFonts w:ascii="Quattrocento Sans" w:eastAsia="Quattrocento Sans" w:hAnsi="Quattrocento Sans" w:cs="Quattrocento Sans"/>
        </w:rPr>
        <w:sectPr w:rsidR="00C27BE9">
          <w:headerReference w:type="even" r:id="rId10"/>
          <w:headerReference w:type="default" r:id="rId11"/>
          <w:footerReference w:type="even" r:id="rId12"/>
          <w:footerReference w:type="default" r:id="rId13"/>
          <w:headerReference w:type="first" r:id="rId14"/>
          <w:footerReference w:type="first" r:id="rId15"/>
          <w:pgSz w:w="12240" w:h="15840"/>
          <w:pgMar w:top="3261" w:right="1892" w:bottom="1474" w:left="1474" w:header="432" w:footer="1134" w:gutter="0"/>
          <w:pgNumType w:start="1"/>
          <w:cols w:space="720"/>
          <w:titlePg/>
        </w:sectPr>
      </w:pPr>
      <w:r>
        <w:rPr>
          <w:rFonts w:ascii="Quattrocento Sans" w:eastAsia="Quattrocento Sans" w:hAnsi="Quattrocento Sans" w:cs="Quattrocento Sans"/>
        </w:rPr>
        <w:t>###</w:t>
      </w:r>
    </w:p>
    <w:p w14:paraId="00000019" w14:textId="77777777" w:rsidR="00C27BE9" w:rsidRDefault="00C27BE9">
      <w:pPr>
        <w:spacing w:after="0" w:line="240" w:lineRule="auto"/>
        <w:rPr>
          <w:rFonts w:ascii="Quattrocento Sans" w:eastAsia="Quattrocento Sans" w:hAnsi="Quattrocento Sans" w:cs="Quattrocento Sans"/>
          <w:b/>
          <w:color w:val="222222"/>
          <w:sz w:val="18"/>
          <w:szCs w:val="18"/>
          <w:highlight w:val="white"/>
        </w:rPr>
      </w:pPr>
    </w:p>
    <w:sectPr w:rsidR="00C27BE9">
      <w:pgSz w:w="12240" w:h="15840"/>
      <w:pgMar w:top="1560" w:right="1361" w:bottom="1418" w:left="1304" w:header="851"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7832" w14:textId="77777777" w:rsidR="006D6C1A" w:rsidRDefault="006D6C1A">
      <w:pPr>
        <w:spacing w:after="0" w:line="240" w:lineRule="auto"/>
      </w:pPr>
      <w:r>
        <w:separator/>
      </w:r>
    </w:p>
  </w:endnote>
  <w:endnote w:type="continuationSeparator" w:id="0">
    <w:p w14:paraId="27D2DD7D" w14:textId="77777777" w:rsidR="006D6C1A" w:rsidRDefault="006D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erif Std Medium">
    <w:altName w:val="Lucida Bright"/>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C27BE9" w:rsidRDefault="00C27BE9">
    <w:pPr>
      <w:pBdr>
        <w:top w:val="nil"/>
        <w:left w:val="nil"/>
        <w:bottom w:val="nil"/>
        <w:right w:val="nil"/>
        <w:between w:val="nil"/>
      </w:pBdr>
      <w:tabs>
        <w:tab w:val="center" w:pos="4320"/>
        <w:tab w:val="right" w:pos="8640"/>
      </w:tabs>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C27BE9" w:rsidRDefault="00C27BE9">
    <w:pPr>
      <w:widowControl w:val="0"/>
      <w:pBdr>
        <w:top w:val="nil"/>
        <w:left w:val="nil"/>
        <w:bottom w:val="nil"/>
        <w:right w:val="nil"/>
        <w:between w:val="nil"/>
      </w:pBdr>
      <w:spacing w:after="0"/>
      <w:rPr>
        <w:color w:val="000000"/>
        <w:szCs w:val="20"/>
      </w:rPr>
    </w:pPr>
  </w:p>
  <w:tbl>
    <w:tblPr>
      <w:tblStyle w:val="a1"/>
      <w:tblW w:w="9791" w:type="dxa"/>
      <w:tblBorders>
        <w:top w:val="single" w:sz="4" w:space="0" w:color="000000"/>
      </w:tblBorders>
      <w:tblLayout w:type="fixed"/>
      <w:tblLook w:val="0000" w:firstRow="0" w:lastRow="0" w:firstColumn="0" w:lastColumn="0" w:noHBand="0" w:noVBand="0"/>
    </w:tblPr>
    <w:tblGrid>
      <w:gridCol w:w="2458"/>
      <w:gridCol w:w="7333"/>
    </w:tblGrid>
    <w:tr w:rsidR="00C27BE9" w14:paraId="3571F4EC" w14:textId="77777777">
      <w:trPr>
        <w:trHeight w:val="20"/>
      </w:trPr>
      <w:tc>
        <w:tcPr>
          <w:tcW w:w="2458" w:type="dxa"/>
          <w:tcBorders>
            <w:top w:val="single" w:sz="4" w:space="0" w:color="BCCDE8"/>
          </w:tcBorders>
          <w:tcMar>
            <w:left w:w="0" w:type="dxa"/>
            <w:right w:w="57" w:type="dxa"/>
          </w:tcMar>
          <w:vAlign w:val="center"/>
        </w:tcPr>
        <w:p w14:paraId="00000027" w14:textId="77777777" w:rsidR="00C27BE9" w:rsidRDefault="009D25B9">
          <w:pPr>
            <w:pBdr>
              <w:top w:val="nil"/>
              <w:left w:val="nil"/>
              <w:bottom w:val="nil"/>
              <w:right w:val="nil"/>
              <w:between w:val="nil"/>
            </w:pBdr>
            <w:spacing w:after="0" w:line="240" w:lineRule="auto"/>
            <w:rPr>
              <w:color w:val="0064AF"/>
              <w:sz w:val="14"/>
              <w:szCs w:val="14"/>
            </w:rPr>
          </w:pPr>
          <w:r>
            <w:rPr>
              <w:color w:val="0064AF"/>
              <w:sz w:val="14"/>
              <w:szCs w:val="14"/>
            </w:rPr>
            <w:t>Copyright © 2023 Medina Foods Inc.</w:t>
          </w:r>
        </w:p>
      </w:tc>
      <w:tc>
        <w:tcPr>
          <w:tcW w:w="7333" w:type="dxa"/>
          <w:tcBorders>
            <w:top w:val="single" w:sz="4" w:space="0" w:color="BCCDE8"/>
          </w:tcBorders>
          <w:tcMar>
            <w:left w:w="0" w:type="dxa"/>
            <w:right w:w="57" w:type="dxa"/>
          </w:tcMar>
          <w:vAlign w:val="center"/>
        </w:tcPr>
        <w:p w14:paraId="00000028" w14:textId="77777777" w:rsidR="00C27BE9" w:rsidRDefault="009D25B9">
          <w:pPr>
            <w:pBdr>
              <w:top w:val="nil"/>
              <w:left w:val="nil"/>
              <w:bottom w:val="nil"/>
              <w:right w:val="nil"/>
              <w:between w:val="nil"/>
            </w:pBdr>
            <w:spacing w:after="0" w:line="240" w:lineRule="auto"/>
            <w:jc w:val="right"/>
            <w:rPr>
              <w:smallCaps/>
              <w:color w:val="0064AF"/>
              <w:sz w:val="14"/>
              <w:szCs w:val="14"/>
            </w:rPr>
          </w:pPr>
          <w:r>
            <w:rPr>
              <w:rFonts w:ascii="Quattrocento Sans" w:eastAsia="Quattrocento Sans" w:hAnsi="Quattrocento Sans" w:cs="Quattrocento Sans"/>
              <w:smallCaps/>
              <w:color w:val="0064AF"/>
              <w:sz w:val="14"/>
              <w:szCs w:val="14"/>
            </w:rPr>
            <w:t xml:space="preserve">PRESS RELEASE – </w:t>
          </w:r>
        </w:p>
      </w:tc>
    </w:tr>
    <w:tr w:rsidR="00C27BE9" w14:paraId="6FCDCDEF" w14:textId="77777777">
      <w:trPr>
        <w:trHeight w:val="20"/>
      </w:trPr>
      <w:tc>
        <w:tcPr>
          <w:tcW w:w="2458" w:type="dxa"/>
          <w:tcBorders>
            <w:top w:val="nil"/>
          </w:tcBorders>
          <w:tcMar>
            <w:left w:w="0" w:type="dxa"/>
            <w:right w:w="57" w:type="dxa"/>
          </w:tcMar>
          <w:vAlign w:val="center"/>
        </w:tcPr>
        <w:p w14:paraId="00000029" w14:textId="77777777" w:rsidR="00C27BE9" w:rsidRDefault="00C27BE9">
          <w:pPr>
            <w:pBdr>
              <w:top w:val="nil"/>
              <w:left w:val="nil"/>
              <w:bottom w:val="nil"/>
              <w:right w:val="nil"/>
              <w:between w:val="nil"/>
            </w:pBdr>
            <w:spacing w:after="0" w:line="240" w:lineRule="auto"/>
            <w:jc w:val="right"/>
            <w:rPr>
              <w:color w:val="0064AF"/>
              <w:sz w:val="14"/>
              <w:szCs w:val="14"/>
            </w:rPr>
          </w:pPr>
        </w:p>
      </w:tc>
      <w:tc>
        <w:tcPr>
          <w:tcW w:w="7333" w:type="dxa"/>
          <w:tcBorders>
            <w:top w:val="nil"/>
          </w:tcBorders>
          <w:tcMar>
            <w:left w:w="0" w:type="dxa"/>
            <w:right w:w="57" w:type="dxa"/>
          </w:tcMar>
          <w:vAlign w:val="center"/>
        </w:tcPr>
        <w:p w14:paraId="0000002A" w14:textId="77777777" w:rsidR="00C27BE9" w:rsidRDefault="00C27BE9">
          <w:pPr>
            <w:pBdr>
              <w:top w:val="nil"/>
              <w:left w:val="nil"/>
              <w:bottom w:val="nil"/>
              <w:right w:val="nil"/>
              <w:between w:val="nil"/>
            </w:pBdr>
            <w:spacing w:after="0" w:line="240" w:lineRule="auto"/>
            <w:jc w:val="right"/>
            <w:rPr>
              <w:smallCaps/>
              <w:color w:val="0064AF"/>
              <w:sz w:val="14"/>
              <w:szCs w:val="14"/>
            </w:rPr>
          </w:pPr>
        </w:p>
      </w:tc>
    </w:tr>
    <w:tr w:rsidR="00C27BE9" w14:paraId="45623F9D" w14:textId="77777777">
      <w:trPr>
        <w:trHeight w:val="20"/>
      </w:trPr>
      <w:tc>
        <w:tcPr>
          <w:tcW w:w="2458" w:type="dxa"/>
          <w:tcMar>
            <w:left w:w="0" w:type="dxa"/>
            <w:right w:w="57" w:type="dxa"/>
          </w:tcMar>
          <w:vAlign w:val="center"/>
        </w:tcPr>
        <w:p w14:paraId="0000002B" w14:textId="77777777" w:rsidR="00C27BE9" w:rsidRDefault="00C27BE9">
          <w:pPr>
            <w:spacing w:after="0" w:line="240" w:lineRule="auto"/>
            <w:jc w:val="right"/>
            <w:rPr>
              <w:sz w:val="14"/>
              <w:szCs w:val="14"/>
            </w:rPr>
          </w:pPr>
        </w:p>
      </w:tc>
      <w:tc>
        <w:tcPr>
          <w:tcW w:w="7333" w:type="dxa"/>
          <w:tcMar>
            <w:left w:w="0" w:type="dxa"/>
            <w:right w:w="57" w:type="dxa"/>
          </w:tcMar>
          <w:vAlign w:val="center"/>
        </w:tcPr>
        <w:p w14:paraId="0000002C" w14:textId="77777777" w:rsidR="00C27BE9" w:rsidRDefault="009D25B9">
          <w:pPr>
            <w:pBdr>
              <w:top w:val="nil"/>
              <w:left w:val="nil"/>
              <w:bottom w:val="nil"/>
              <w:right w:val="nil"/>
              <w:between w:val="nil"/>
            </w:pBdr>
            <w:spacing w:after="0" w:line="240" w:lineRule="auto"/>
            <w:jc w:val="right"/>
            <w:rPr>
              <w:color w:val="666666"/>
              <w:sz w:val="14"/>
              <w:szCs w:val="14"/>
            </w:rPr>
          </w:pPr>
          <w:r>
            <w:rPr>
              <w:color w:val="666666"/>
              <w:sz w:val="14"/>
              <w:szCs w:val="14"/>
            </w:rPr>
            <w:t>DRAFT Version 0.1 – Mar 30 2023</w:t>
          </w:r>
        </w:p>
      </w:tc>
    </w:tr>
    <w:tr w:rsidR="00C27BE9" w14:paraId="652F3230" w14:textId="77777777">
      <w:trPr>
        <w:trHeight w:val="20"/>
      </w:trPr>
      <w:tc>
        <w:tcPr>
          <w:tcW w:w="2458" w:type="dxa"/>
          <w:tcMar>
            <w:left w:w="0" w:type="dxa"/>
            <w:right w:w="57" w:type="dxa"/>
          </w:tcMar>
          <w:vAlign w:val="center"/>
        </w:tcPr>
        <w:p w14:paraId="0000002D" w14:textId="77777777" w:rsidR="00C27BE9" w:rsidRDefault="00C27BE9">
          <w:pPr>
            <w:spacing w:after="0" w:line="240" w:lineRule="auto"/>
            <w:jc w:val="right"/>
            <w:rPr>
              <w:sz w:val="14"/>
              <w:szCs w:val="14"/>
            </w:rPr>
          </w:pPr>
        </w:p>
      </w:tc>
      <w:tc>
        <w:tcPr>
          <w:tcW w:w="7333" w:type="dxa"/>
          <w:tcMar>
            <w:left w:w="0" w:type="dxa"/>
            <w:right w:w="57" w:type="dxa"/>
          </w:tcMar>
          <w:vAlign w:val="center"/>
        </w:tcPr>
        <w:p w14:paraId="0000002E" w14:textId="40D584AB" w:rsidR="00C27BE9" w:rsidRDefault="009D25B9">
          <w:pPr>
            <w:spacing w:after="0" w:line="240" w:lineRule="auto"/>
            <w:jc w:val="right"/>
            <w:rPr>
              <w:color w:val="666666"/>
              <w:sz w:val="14"/>
              <w:szCs w:val="14"/>
            </w:rPr>
          </w:pPr>
          <w:r>
            <w:rPr>
              <w:color w:val="666666"/>
              <w:sz w:val="14"/>
              <w:szCs w:val="14"/>
            </w:rPr>
            <w:t xml:space="preserve">Page 3 of </w:t>
          </w:r>
          <w:r>
            <w:rPr>
              <w:color w:val="666666"/>
              <w:sz w:val="14"/>
              <w:szCs w:val="14"/>
            </w:rPr>
            <w:fldChar w:fldCharType="begin"/>
          </w:r>
          <w:r>
            <w:rPr>
              <w:color w:val="666666"/>
              <w:sz w:val="14"/>
              <w:szCs w:val="14"/>
            </w:rPr>
            <w:instrText>NUMPAGES</w:instrText>
          </w:r>
          <w:r>
            <w:rPr>
              <w:color w:val="666666"/>
              <w:sz w:val="14"/>
              <w:szCs w:val="14"/>
            </w:rPr>
            <w:fldChar w:fldCharType="separate"/>
          </w:r>
          <w:r w:rsidR="00F303F0">
            <w:rPr>
              <w:noProof/>
              <w:color w:val="666666"/>
              <w:sz w:val="14"/>
              <w:szCs w:val="14"/>
            </w:rPr>
            <w:t>3</w:t>
          </w:r>
          <w:r>
            <w:rPr>
              <w:color w:val="666666"/>
              <w:sz w:val="14"/>
              <w:szCs w:val="14"/>
            </w:rPr>
            <w:fldChar w:fldCharType="end"/>
          </w:r>
          <w:r>
            <w:rPr>
              <w:color w:val="666666"/>
              <w:sz w:val="14"/>
              <w:szCs w:val="14"/>
            </w:rPr>
            <w:t xml:space="preserve"> </w:t>
          </w:r>
        </w:p>
      </w:tc>
    </w:tr>
  </w:tbl>
  <w:p w14:paraId="0000002F" w14:textId="77777777" w:rsidR="00C27BE9" w:rsidRDefault="00C27BE9">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C27BE9" w:rsidRDefault="00C27BE9">
    <w:pPr>
      <w:widowControl w:val="0"/>
      <w:pBdr>
        <w:top w:val="nil"/>
        <w:left w:val="nil"/>
        <w:bottom w:val="nil"/>
        <w:right w:val="nil"/>
        <w:between w:val="nil"/>
      </w:pBdr>
      <w:spacing w:after="0"/>
      <w:rPr>
        <w:color w:val="000000"/>
        <w:szCs w:val="20"/>
      </w:rPr>
    </w:pPr>
  </w:p>
  <w:tbl>
    <w:tblPr>
      <w:tblStyle w:val="a0"/>
      <w:tblW w:w="8926"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tblGrid>
    <w:tr w:rsidR="00C27BE9" w14:paraId="0843998E" w14:textId="77777777">
      <w:trPr>
        <w:trHeight w:val="70"/>
      </w:trPr>
      <w:tc>
        <w:tcPr>
          <w:tcW w:w="8926" w:type="dxa"/>
          <w:tcBorders>
            <w:top w:val="nil"/>
            <w:left w:val="nil"/>
            <w:bottom w:val="nil"/>
            <w:right w:val="nil"/>
          </w:tcBorders>
          <w:vAlign w:val="center"/>
        </w:tcPr>
        <w:p w14:paraId="00000023" w14:textId="77777777" w:rsidR="00C27BE9" w:rsidRDefault="009D25B9">
          <w:pPr>
            <w:pBdr>
              <w:top w:val="nil"/>
              <w:left w:val="nil"/>
              <w:bottom w:val="nil"/>
              <w:right w:val="nil"/>
              <w:between w:val="nil"/>
            </w:pBdr>
            <w:tabs>
              <w:tab w:val="center" w:pos="4320"/>
              <w:tab w:val="right" w:pos="8640"/>
            </w:tabs>
            <w:spacing w:after="0"/>
            <w:rPr>
              <w:color w:val="0064AF"/>
              <w:sz w:val="14"/>
              <w:szCs w:val="14"/>
            </w:rPr>
          </w:pPr>
          <w:r>
            <w:rPr>
              <w:color w:val="666666"/>
              <w:sz w:val="14"/>
              <w:szCs w:val="14"/>
            </w:rPr>
            <w:t>240 St. Jacques, 2</w:t>
          </w:r>
          <w:r>
            <w:rPr>
              <w:color w:val="666666"/>
              <w:sz w:val="14"/>
              <w:szCs w:val="14"/>
              <w:vertAlign w:val="superscript"/>
            </w:rPr>
            <w:t>nd</w:t>
          </w:r>
          <w:r>
            <w:rPr>
              <w:color w:val="666666"/>
              <w:sz w:val="14"/>
              <w:szCs w:val="14"/>
            </w:rPr>
            <w:t xml:space="preserve"> Floor, Montréal, QC, Canada H2Y 1L</w:t>
          </w:r>
          <w:proofErr w:type="gramStart"/>
          <w:r>
            <w:rPr>
              <w:color w:val="666666"/>
              <w:sz w:val="14"/>
              <w:szCs w:val="14"/>
            </w:rPr>
            <w:t xml:space="preserve">9  </w:t>
          </w:r>
          <w:r>
            <w:rPr>
              <w:color w:val="666666"/>
              <w:sz w:val="12"/>
              <w:szCs w:val="12"/>
            </w:rPr>
            <w:t>Tel</w:t>
          </w:r>
          <w:proofErr w:type="gramEnd"/>
          <w:r>
            <w:rPr>
              <w:color w:val="666666"/>
              <w:sz w:val="12"/>
              <w:szCs w:val="12"/>
            </w:rPr>
            <w:t>:</w:t>
          </w:r>
          <w:r>
            <w:rPr>
              <w:color w:val="666666"/>
              <w:sz w:val="14"/>
              <w:szCs w:val="14"/>
            </w:rPr>
            <w:t xml:space="preserve"> +1 514-485-9552 </w:t>
          </w:r>
          <w:r>
            <w:rPr>
              <w:color w:val="666666"/>
              <w:sz w:val="12"/>
              <w:szCs w:val="12"/>
            </w:rPr>
            <w:t xml:space="preserve">Fax: </w:t>
          </w:r>
          <w:r>
            <w:rPr>
              <w:color w:val="666666"/>
              <w:sz w:val="14"/>
              <w:szCs w:val="14"/>
            </w:rPr>
            <w:t xml:space="preserve">+1 514-485-4822   </w:t>
          </w:r>
          <w:r>
            <w:rPr>
              <w:color w:val="0064AF"/>
              <w:sz w:val="14"/>
              <w:szCs w:val="14"/>
            </w:rPr>
            <w:t>www.qsaiinternational.com</w:t>
          </w:r>
        </w:p>
        <w:p w14:paraId="00000024" w14:textId="77777777" w:rsidR="00C27BE9" w:rsidRDefault="00C27BE9">
          <w:pPr>
            <w:pBdr>
              <w:top w:val="nil"/>
              <w:left w:val="nil"/>
              <w:bottom w:val="nil"/>
              <w:right w:val="nil"/>
              <w:between w:val="nil"/>
            </w:pBdr>
            <w:tabs>
              <w:tab w:val="center" w:pos="4320"/>
              <w:tab w:val="right" w:pos="8640"/>
            </w:tabs>
            <w:spacing w:after="0"/>
            <w:rPr>
              <w:color w:val="666666"/>
              <w:sz w:val="14"/>
              <w:szCs w:val="14"/>
            </w:rPr>
          </w:pPr>
        </w:p>
      </w:tc>
    </w:tr>
  </w:tbl>
  <w:p w14:paraId="00000025" w14:textId="77777777" w:rsidR="00C27BE9" w:rsidRDefault="00C27BE9">
    <w:pPr>
      <w:pBdr>
        <w:top w:val="nil"/>
        <w:left w:val="nil"/>
        <w:bottom w:val="nil"/>
        <w:right w:val="nil"/>
        <w:between w:val="nil"/>
      </w:pBdr>
      <w:tabs>
        <w:tab w:val="center" w:pos="4320"/>
        <w:tab w:val="right" w:pos="8640"/>
      </w:tabs>
      <w:spacing w:after="0"/>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53EE" w14:textId="77777777" w:rsidR="006D6C1A" w:rsidRDefault="006D6C1A">
      <w:pPr>
        <w:spacing w:after="0" w:line="240" w:lineRule="auto"/>
      </w:pPr>
      <w:r>
        <w:separator/>
      </w:r>
    </w:p>
  </w:footnote>
  <w:footnote w:type="continuationSeparator" w:id="0">
    <w:p w14:paraId="7F9D545C" w14:textId="77777777" w:rsidR="006D6C1A" w:rsidRDefault="006D6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C27BE9" w:rsidRDefault="00C27BE9">
    <w:pPr>
      <w:pBdr>
        <w:top w:val="nil"/>
        <w:left w:val="nil"/>
        <w:bottom w:val="nil"/>
        <w:right w:val="nil"/>
        <w:between w:val="nil"/>
      </w:pBdr>
      <w:tabs>
        <w:tab w:val="center" w:pos="4320"/>
        <w:tab w:val="right" w:pos="8640"/>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C27BE9" w:rsidRDefault="00C27BE9">
    <w:pPr>
      <w:widowControl w:val="0"/>
      <w:pBdr>
        <w:top w:val="nil"/>
        <w:left w:val="nil"/>
        <w:bottom w:val="nil"/>
        <w:right w:val="nil"/>
        <w:between w:val="nil"/>
      </w:pBdr>
      <w:spacing w:after="0"/>
      <w:rPr>
        <w:rFonts w:ascii="Quattrocento Sans" w:eastAsia="Quattrocento Sans" w:hAnsi="Quattrocento Sans" w:cs="Quattrocento Sans"/>
        <w:color w:val="0000FF"/>
        <w:sz w:val="18"/>
        <w:szCs w:val="18"/>
      </w:rPr>
    </w:pPr>
  </w:p>
  <w:tbl>
    <w:tblPr>
      <w:tblStyle w:val="a"/>
      <w:tblW w:w="9768" w:type="dxa"/>
      <w:tblBorders>
        <w:bottom w:val="single" w:sz="4" w:space="0" w:color="000000"/>
      </w:tblBorders>
      <w:tblLayout w:type="fixed"/>
      <w:tblLook w:val="0000" w:firstRow="0" w:lastRow="0" w:firstColumn="0" w:lastColumn="0" w:noHBand="0" w:noVBand="0"/>
    </w:tblPr>
    <w:tblGrid>
      <w:gridCol w:w="6962"/>
      <w:gridCol w:w="2806"/>
    </w:tblGrid>
    <w:tr w:rsidR="00C27BE9" w14:paraId="70F0DD39" w14:textId="77777777">
      <w:trPr>
        <w:trHeight w:val="566"/>
      </w:trPr>
      <w:tc>
        <w:tcPr>
          <w:tcW w:w="6962" w:type="dxa"/>
          <w:tcMar>
            <w:left w:w="0" w:type="dxa"/>
            <w:right w:w="0" w:type="dxa"/>
          </w:tcMar>
          <w:vAlign w:val="center"/>
        </w:tcPr>
        <w:p w14:paraId="0000001B" w14:textId="77777777" w:rsidR="00C27BE9" w:rsidRDefault="00C27BE9">
          <w:pPr>
            <w:spacing w:after="0" w:line="240" w:lineRule="auto"/>
            <w:jc w:val="right"/>
            <w:rPr>
              <w:sz w:val="16"/>
              <w:szCs w:val="16"/>
            </w:rPr>
          </w:pPr>
        </w:p>
      </w:tc>
      <w:tc>
        <w:tcPr>
          <w:tcW w:w="2806" w:type="dxa"/>
          <w:shd w:val="clear" w:color="auto" w:fill="auto"/>
          <w:tcMar>
            <w:left w:w="0" w:type="dxa"/>
            <w:right w:w="0" w:type="dxa"/>
          </w:tcMar>
          <w:vAlign w:val="center"/>
        </w:tcPr>
        <w:p w14:paraId="0000001C" w14:textId="77777777" w:rsidR="00C27BE9" w:rsidRDefault="009D25B9">
          <w:pPr>
            <w:jc w:val="right"/>
            <w:rPr>
              <w:b/>
            </w:rPr>
          </w:pPr>
          <w:r>
            <w:rPr>
              <w:b/>
              <w:noProof/>
            </w:rPr>
            <w:drawing>
              <wp:inline distT="0" distB="0" distL="0" distR="0" wp14:anchorId="207E6FA2" wp14:editId="2D8D5A84">
                <wp:extent cx="800100" cy="342900"/>
                <wp:effectExtent l="0" t="0" r="0" b="0"/>
                <wp:docPr id="137" name="image3.jpg" descr="Medina Logo with no Food Assurance Services - JPG Internal - Small.jpg"/>
                <wp:cNvGraphicFramePr/>
                <a:graphic xmlns:a="http://schemas.openxmlformats.org/drawingml/2006/main">
                  <a:graphicData uri="http://schemas.openxmlformats.org/drawingml/2006/picture">
                    <pic:pic xmlns:pic="http://schemas.openxmlformats.org/drawingml/2006/picture">
                      <pic:nvPicPr>
                        <pic:cNvPr id="0" name="image3.jpg" descr="Medina Logo with no Food Assurance Services - JPG Internal - Small.jpg"/>
                        <pic:cNvPicPr preferRelativeResize="0"/>
                      </pic:nvPicPr>
                      <pic:blipFill>
                        <a:blip r:embed="rId1"/>
                        <a:srcRect/>
                        <a:stretch>
                          <a:fillRect/>
                        </a:stretch>
                      </pic:blipFill>
                      <pic:spPr>
                        <a:xfrm>
                          <a:off x="0" y="0"/>
                          <a:ext cx="800100" cy="342900"/>
                        </a:xfrm>
                        <a:prstGeom prst="rect">
                          <a:avLst/>
                        </a:prstGeom>
                        <a:ln/>
                      </pic:spPr>
                    </pic:pic>
                  </a:graphicData>
                </a:graphic>
              </wp:inline>
            </w:drawing>
          </w:r>
        </w:p>
      </w:tc>
    </w:tr>
  </w:tbl>
  <w:p w14:paraId="0000001D" w14:textId="77777777" w:rsidR="00C27BE9" w:rsidRDefault="00C27BE9">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C27BE9" w:rsidRDefault="009D25B9">
    <w:pPr>
      <w:pBdr>
        <w:top w:val="nil"/>
        <w:left w:val="nil"/>
        <w:bottom w:val="nil"/>
        <w:right w:val="nil"/>
        <w:between w:val="nil"/>
      </w:pBdr>
      <w:tabs>
        <w:tab w:val="left" w:pos="6075"/>
      </w:tabs>
      <w:spacing w:after="240" w:line="240" w:lineRule="auto"/>
      <w:rPr>
        <w:smallCaps/>
        <w:color w:val="0064AF"/>
        <w:sz w:val="36"/>
        <w:szCs w:val="36"/>
      </w:rPr>
    </w:pPr>
    <w:r>
      <w:rPr>
        <w:noProof/>
      </w:rPr>
      <w:drawing>
        <wp:anchor distT="114300" distB="114300" distL="114300" distR="114300" simplePos="0" relativeHeight="251658240" behindDoc="1" locked="0" layoutInCell="1" hidden="0" allowOverlap="1" wp14:anchorId="22D64A6E" wp14:editId="11F21496">
          <wp:simplePos x="0" y="0"/>
          <wp:positionH relativeFrom="column">
            <wp:posOffset>4859973</wp:posOffset>
          </wp:positionH>
          <wp:positionV relativeFrom="paragraph">
            <wp:posOffset>485775</wp:posOffset>
          </wp:positionV>
          <wp:extent cx="778827" cy="778827"/>
          <wp:effectExtent l="0" t="0" r="0" b="0"/>
          <wp:wrapNone/>
          <wp:docPr id="1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8827" cy="778827"/>
                  </a:xfrm>
                  <a:prstGeom prst="rect">
                    <a:avLst/>
                  </a:prstGeom>
                  <a:ln/>
                </pic:spPr>
              </pic:pic>
            </a:graphicData>
          </a:graphic>
        </wp:anchor>
      </w:drawing>
    </w:r>
  </w:p>
  <w:p w14:paraId="00000020" w14:textId="77777777" w:rsidR="00C27BE9" w:rsidRDefault="009D25B9">
    <w:pPr>
      <w:pBdr>
        <w:top w:val="nil"/>
        <w:left w:val="nil"/>
        <w:bottom w:val="nil"/>
        <w:right w:val="nil"/>
        <w:between w:val="nil"/>
      </w:pBdr>
      <w:tabs>
        <w:tab w:val="left" w:pos="6075"/>
      </w:tabs>
      <w:spacing w:after="240" w:line="240" w:lineRule="auto"/>
      <w:rPr>
        <w:smallCaps/>
        <w:color w:val="0064AF"/>
        <w:sz w:val="36"/>
        <w:szCs w:val="36"/>
      </w:rPr>
    </w:pPr>
    <w:r>
      <w:rPr>
        <w:smallCaps/>
        <w:noProof/>
        <w:color w:val="0064AF"/>
        <w:sz w:val="36"/>
        <w:szCs w:val="36"/>
      </w:rPr>
      <w:drawing>
        <wp:inline distT="0" distB="0" distL="0" distR="0" wp14:anchorId="0F0C81EE" wp14:editId="6DE14D37">
          <wp:extent cx="1780290" cy="778876"/>
          <wp:effectExtent l="0" t="0" r="0" b="0"/>
          <wp:docPr id="138"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2"/>
                  <a:srcRect/>
                  <a:stretch>
                    <a:fillRect/>
                  </a:stretch>
                </pic:blipFill>
                <pic:spPr>
                  <a:xfrm>
                    <a:off x="0" y="0"/>
                    <a:ext cx="1780290" cy="778876"/>
                  </a:xfrm>
                  <a:prstGeom prst="rect">
                    <a:avLst/>
                  </a:prstGeom>
                  <a:ln/>
                </pic:spPr>
              </pic:pic>
            </a:graphicData>
          </a:graphic>
        </wp:inline>
      </w:drawing>
    </w:r>
    <w:r>
      <w:rPr>
        <w:noProof/>
      </w:rPr>
      <w:drawing>
        <wp:anchor distT="0" distB="0" distL="0" distR="0" simplePos="0" relativeHeight="251659264" behindDoc="1" locked="0" layoutInCell="1" hidden="0" allowOverlap="1" wp14:anchorId="775C3B4D" wp14:editId="285BF0C9">
          <wp:simplePos x="0" y="0"/>
          <wp:positionH relativeFrom="column">
            <wp:posOffset>-850263</wp:posOffset>
          </wp:positionH>
          <wp:positionV relativeFrom="paragraph">
            <wp:posOffset>-467993</wp:posOffset>
          </wp:positionV>
          <wp:extent cx="7686675" cy="9944100"/>
          <wp:effectExtent l="0" t="0" r="0" b="0"/>
          <wp:wrapNone/>
          <wp:docPr id="139" name="image2.png" descr="Letterhead Background"/>
          <wp:cNvGraphicFramePr/>
          <a:graphic xmlns:a="http://schemas.openxmlformats.org/drawingml/2006/main">
            <a:graphicData uri="http://schemas.openxmlformats.org/drawingml/2006/picture">
              <pic:pic xmlns:pic="http://schemas.openxmlformats.org/drawingml/2006/picture">
                <pic:nvPicPr>
                  <pic:cNvPr id="0" name="image2.png" descr="Letterhead Background"/>
                  <pic:cNvPicPr preferRelativeResize="0"/>
                </pic:nvPicPr>
                <pic:blipFill>
                  <a:blip r:embed="rId3"/>
                  <a:srcRect/>
                  <a:stretch>
                    <a:fillRect/>
                  </a:stretch>
                </pic:blipFill>
                <pic:spPr>
                  <a:xfrm>
                    <a:off x="0" y="0"/>
                    <a:ext cx="7686675" cy="9944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44321"/>
    <w:multiLevelType w:val="multilevel"/>
    <w:tmpl w:val="1AA8260A"/>
    <w:lvl w:ilvl="0">
      <w:start w:val="1"/>
      <w:numFmt w:val="decimal"/>
      <w:pStyle w:val="Medina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202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E9"/>
    <w:rsid w:val="000F0732"/>
    <w:rsid w:val="006D6C1A"/>
    <w:rsid w:val="007A4B08"/>
    <w:rsid w:val="009D0140"/>
    <w:rsid w:val="009D25B9"/>
    <w:rsid w:val="00B81DFB"/>
    <w:rsid w:val="00C27BE9"/>
    <w:rsid w:val="00F303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BCDD"/>
  <w15:docId w15:val="{1AC781BF-3C3D-49D7-96B9-D26B80B1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0DC"/>
    <w:rPr>
      <w:szCs w:val="22"/>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ocked/>
    <w:rsid w:val="00BB2DF1"/>
    <w:pPr>
      <w:tabs>
        <w:tab w:val="center" w:pos="4320"/>
        <w:tab w:val="right" w:pos="8640"/>
      </w:tabs>
    </w:pPr>
  </w:style>
  <w:style w:type="paragraph" w:styleId="Footer">
    <w:name w:val="footer"/>
    <w:basedOn w:val="Normal"/>
    <w:link w:val="FooterChar"/>
    <w:uiPriority w:val="99"/>
    <w:locked/>
    <w:rsid w:val="00BB2DF1"/>
    <w:pPr>
      <w:tabs>
        <w:tab w:val="center" w:pos="4320"/>
        <w:tab w:val="right" w:pos="8640"/>
      </w:tabs>
    </w:pPr>
  </w:style>
  <w:style w:type="paragraph" w:customStyle="1" w:styleId="MQHeading1">
    <w:name w:val="MQ Heading 1"/>
    <w:basedOn w:val="Normal"/>
    <w:qFormat/>
    <w:rsid w:val="001A5329"/>
    <w:pPr>
      <w:spacing w:after="240" w:line="240" w:lineRule="auto"/>
    </w:pPr>
    <w:rPr>
      <w:smallCaps/>
      <w:color w:val="0064AF"/>
      <w:sz w:val="36"/>
      <w:szCs w:val="32"/>
    </w:rPr>
  </w:style>
  <w:style w:type="paragraph" w:customStyle="1" w:styleId="MQHeading2">
    <w:name w:val="MQ Heading 2"/>
    <w:basedOn w:val="Normal"/>
    <w:qFormat/>
    <w:rsid w:val="00445108"/>
    <w:pPr>
      <w:spacing w:after="240" w:line="240" w:lineRule="auto"/>
    </w:pPr>
    <w:rPr>
      <w:smallCaps/>
      <w:color w:val="0064AF"/>
      <w:sz w:val="28"/>
      <w:szCs w:val="28"/>
    </w:rPr>
  </w:style>
  <w:style w:type="paragraph" w:customStyle="1" w:styleId="MQHeading3">
    <w:name w:val="MQ Heading 3"/>
    <w:basedOn w:val="Normal"/>
    <w:qFormat/>
    <w:rsid w:val="00C3410C"/>
    <w:pPr>
      <w:spacing w:after="120" w:line="240" w:lineRule="auto"/>
      <w:ind w:right="-999"/>
    </w:pPr>
    <w:rPr>
      <w:i/>
      <w:color w:val="666666"/>
      <w:sz w:val="24"/>
    </w:rPr>
  </w:style>
  <w:style w:type="character" w:styleId="Emphasis">
    <w:name w:val="Emphasis"/>
    <w:basedOn w:val="DefaultParagraphFont"/>
    <w:uiPriority w:val="20"/>
    <w:locked/>
    <w:rsid w:val="00297A05"/>
    <w:rPr>
      <w:i/>
      <w:iCs/>
    </w:rPr>
  </w:style>
  <w:style w:type="character" w:styleId="BookTitle">
    <w:name w:val="Book Title"/>
    <w:basedOn w:val="DefaultParagraphFont"/>
    <w:uiPriority w:val="33"/>
    <w:locked/>
    <w:rsid w:val="00297A05"/>
    <w:rPr>
      <w:b/>
      <w:bCs/>
      <w:smallCaps/>
      <w:spacing w:val="5"/>
    </w:rPr>
  </w:style>
  <w:style w:type="paragraph" w:customStyle="1" w:styleId="MQFooter">
    <w:name w:val="MQ Footer"/>
    <w:basedOn w:val="Normal"/>
    <w:rsid w:val="00230067"/>
    <w:pPr>
      <w:spacing w:after="0"/>
      <w:jc w:val="right"/>
    </w:pPr>
    <w:rPr>
      <w:sz w:val="16"/>
      <w:szCs w:val="16"/>
    </w:rPr>
  </w:style>
  <w:style w:type="paragraph" w:styleId="BalloonText">
    <w:name w:val="Balloon Text"/>
    <w:basedOn w:val="Normal"/>
    <w:link w:val="BalloonTextChar"/>
    <w:uiPriority w:val="99"/>
    <w:semiHidden/>
    <w:unhideWhenUsed/>
    <w:locked/>
    <w:rsid w:val="009D3DA3"/>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D3DA3"/>
    <w:rPr>
      <w:rFonts w:ascii="Tahoma" w:hAnsi="Tahoma" w:cs="Tahoma"/>
      <w:sz w:val="16"/>
      <w:szCs w:val="16"/>
    </w:rPr>
  </w:style>
  <w:style w:type="character" w:customStyle="1" w:styleId="FooterChar">
    <w:name w:val="Footer Char"/>
    <w:basedOn w:val="DefaultParagraphFont"/>
    <w:link w:val="Footer"/>
    <w:uiPriority w:val="99"/>
    <w:rsid w:val="00497D3F"/>
    <w:rPr>
      <w:rFonts w:ascii="Tahoma" w:hAnsi="Tahoma"/>
    </w:rPr>
  </w:style>
  <w:style w:type="character" w:styleId="CommentReference">
    <w:name w:val="annotation reference"/>
    <w:basedOn w:val="DefaultParagraphFont"/>
    <w:uiPriority w:val="99"/>
    <w:semiHidden/>
    <w:unhideWhenUsed/>
    <w:locked/>
    <w:rsid w:val="00EB7D5F"/>
    <w:rPr>
      <w:sz w:val="16"/>
      <w:szCs w:val="16"/>
    </w:rPr>
  </w:style>
  <w:style w:type="paragraph" w:styleId="CommentText">
    <w:name w:val="annotation text"/>
    <w:basedOn w:val="Normal"/>
    <w:link w:val="CommentTextChar"/>
    <w:uiPriority w:val="99"/>
    <w:unhideWhenUsed/>
    <w:locked/>
    <w:rsid w:val="00EB7D5F"/>
    <w:pPr>
      <w:spacing w:line="240" w:lineRule="auto"/>
    </w:pPr>
    <w:rPr>
      <w:szCs w:val="20"/>
    </w:rPr>
  </w:style>
  <w:style w:type="character" w:customStyle="1" w:styleId="CommentTextChar">
    <w:name w:val="Comment Text Char"/>
    <w:basedOn w:val="DefaultParagraphFont"/>
    <w:link w:val="CommentText"/>
    <w:uiPriority w:val="99"/>
    <w:rsid w:val="00EB7D5F"/>
    <w:rPr>
      <w:rFonts w:ascii="Tahoma" w:hAnsi="Tahoma"/>
      <w:lang w:eastAsia="en-US"/>
    </w:rPr>
  </w:style>
  <w:style w:type="paragraph" w:styleId="CommentSubject">
    <w:name w:val="annotation subject"/>
    <w:basedOn w:val="CommentText"/>
    <w:next w:val="CommentText"/>
    <w:link w:val="CommentSubjectChar"/>
    <w:uiPriority w:val="99"/>
    <w:semiHidden/>
    <w:unhideWhenUsed/>
    <w:locked/>
    <w:rsid w:val="00EB7D5F"/>
    <w:rPr>
      <w:b/>
      <w:bCs/>
    </w:rPr>
  </w:style>
  <w:style w:type="character" w:customStyle="1" w:styleId="CommentSubjectChar">
    <w:name w:val="Comment Subject Char"/>
    <w:basedOn w:val="CommentTextChar"/>
    <w:link w:val="CommentSubject"/>
    <w:uiPriority w:val="99"/>
    <w:semiHidden/>
    <w:rsid w:val="00EB7D5F"/>
    <w:rPr>
      <w:rFonts w:ascii="Tahoma" w:hAnsi="Tahoma"/>
      <w:b/>
      <w:bCs/>
      <w:lang w:eastAsia="en-US"/>
    </w:rPr>
  </w:style>
  <w:style w:type="paragraph" w:customStyle="1" w:styleId="MQFooterLine12">
    <w:name w:val="MQ Footer Line 1  &amp; 2"/>
    <w:basedOn w:val="MQFooter"/>
    <w:rsid w:val="0072331F"/>
    <w:pPr>
      <w:spacing w:line="240" w:lineRule="auto"/>
    </w:pPr>
    <w:rPr>
      <w:smallCaps/>
      <w:color w:val="0064AF"/>
      <w:sz w:val="14"/>
      <w:szCs w:val="14"/>
    </w:rPr>
  </w:style>
  <w:style w:type="paragraph" w:customStyle="1" w:styleId="MQFooterLine2">
    <w:name w:val="MQ Footer Line 2"/>
    <w:basedOn w:val="MQFooter"/>
    <w:rsid w:val="00FE6BAC"/>
    <w:pPr>
      <w:spacing w:line="240" w:lineRule="auto"/>
    </w:pPr>
    <w:rPr>
      <w:color w:val="0064AF"/>
      <w:sz w:val="14"/>
      <w:szCs w:val="14"/>
    </w:rPr>
  </w:style>
  <w:style w:type="paragraph" w:customStyle="1" w:styleId="MQFooterLine3">
    <w:name w:val="MQ Footer Line 3"/>
    <w:basedOn w:val="Normal"/>
    <w:rsid w:val="00FE6BAC"/>
    <w:pPr>
      <w:spacing w:after="0" w:line="240" w:lineRule="auto"/>
      <w:jc w:val="right"/>
    </w:pPr>
    <w:rPr>
      <w:color w:val="666666"/>
      <w:sz w:val="14"/>
      <w:szCs w:val="14"/>
    </w:rPr>
  </w:style>
  <w:style w:type="paragraph" w:customStyle="1" w:styleId="MQFooter-VersionLine">
    <w:name w:val="MQ Footer - Version Line"/>
    <w:basedOn w:val="Normal"/>
    <w:rsid w:val="0072331F"/>
    <w:pPr>
      <w:spacing w:after="0" w:line="240" w:lineRule="auto"/>
      <w:jc w:val="right"/>
    </w:pPr>
    <w:rPr>
      <w:color w:val="666666"/>
      <w:sz w:val="14"/>
      <w:szCs w:val="14"/>
    </w:rPr>
  </w:style>
  <w:style w:type="paragraph" w:styleId="ListParagraph">
    <w:name w:val="List Paragraph"/>
    <w:basedOn w:val="Normal"/>
    <w:uiPriority w:val="34"/>
    <w:qFormat/>
    <w:locked/>
    <w:rsid w:val="000436C4"/>
    <w:pPr>
      <w:ind w:left="720"/>
      <w:contextualSpacing/>
    </w:pPr>
    <w:rPr>
      <w:rFonts w:ascii="Calibri" w:hAnsi="Calibri"/>
      <w:sz w:val="22"/>
    </w:rPr>
  </w:style>
  <w:style w:type="paragraph" w:customStyle="1" w:styleId="MedinaGuidelines-Text">
    <w:name w:val="Medina Guidelines - Text"/>
    <w:basedOn w:val="Normal"/>
    <w:rsid w:val="00C14318"/>
    <w:pPr>
      <w:spacing w:before="120" w:after="120" w:line="60" w:lineRule="atLeast"/>
      <w:ind w:right="2448"/>
    </w:pPr>
    <w:rPr>
      <w:rFonts w:ascii="ITC Stone Serif Std Medium" w:eastAsia="Times New Roman" w:hAnsi="ITC Stone Serif Std Medium"/>
      <w:szCs w:val="24"/>
      <w:lang w:eastAsia="fr-FR"/>
    </w:rPr>
  </w:style>
  <w:style w:type="paragraph" w:customStyle="1" w:styleId="MedinaBulletList">
    <w:name w:val="Medina Bullet List"/>
    <w:basedOn w:val="Normal"/>
    <w:rsid w:val="00C14318"/>
    <w:pPr>
      <w:numPr>
        <w:numId w:val="1"/>
      </w:numPr>
      <w:spacing w:before="120" w:after="0" w:line="240" w:lineRule="auto"/>
      <w:ind w:right="2449"/>
      <w:jc w:val="both"/>
    </w:pPr>
    <w:rPr>
      <w:rFonts w:ascii="ITC Stone Serif Std Medium" w:eastAsia="Times New Roman" w:hAnsi="ITC Stone Serif Std Medium"/>
      <w:szCs w:val="24"/>
      <w:lang w:eastAsia="fr-FR"/>
    </w:rPr>
  </w:style>
  <w:style w:type="paragraph" w:customStyle="1" w:styleId="MedinaBodyText">
    <w:name w:val="Medina Body Text"/>
    <w:basedOn w:val="Normal"/>
    <w:rsid w:val="00C14318"/>
    <w:pPr>
      <w:spacing w:after="0" w:line="240" w:lineRule="auto"/>
      <w:ind w:right="2449"/>
    </w:pPr>
    <w:rPr>
      <w:rFonts w:ascii="ITC Stone Serif Std Medium" w:eastAsia="Times New Roman" w:hAnsi="ITC Stone Serif Std Medium" w:cs="Arial"/>
      <w:szCs w:val="20"/>
    </w:rPr>
  </w:style>
  <w:style w:type="character" w:styleId="Hyperlink">
    <w:name w:val="Hyperlink"/>
    <w:basedOn w:val="DefaultParagraphFont"/>
    <w:uiPriority w:val="99"/>
    <w:unhideWhenUsed/>
    <w:locked/>
    <w:rsid w:val="0047131E"/>
    <w:rPr>
      <w:color w:val="0000FF" w:themeColor="hyperlink"/>
      <w:u w:val="single"/>
    </w:rPr>
  </w:style>
  <w:style w:type="character" w:styleId="UnresolvedMention">
    <w:name w:val="Unresolved Mention"/>
    <w:basedOn w:val="DefaultParagraphFont"/>
    <w:uiPriority w:val="99"/>
    <w:semiHidden/>
    <w:unhideWhenUsed/>
    <w:rsid w:val="0059488B"/>
    <w:rPr>
      <w:color w:val="605E5C"/>
      <w:shd w:val="clear" w:color="auto" w:fill="E1DFDD"/>
    </w:rPr>
  </w:style>
  <w:style w:type="paragraph" w:customStyle="1" w:styleId="MQMemoFaxNormalText">
    <w:name w:val="MQ Memo/Fax Normal Text"/>
    <w:qFormat/>
    <w:rsid w:val="0059488B"/>
    <w:pPr>
      <w:ind w:left="181"/>
    </w:pPr>
    <w:rPr>
      <w:rFonts w:eastAsia="Times New Roman"/>
      <w:lang w:eastAsia="fr-FR"/>
    </w:rPr>
  </w:style>
  <w:style w:type="paragraph" w:customStyle="1" w:styleId="Default">
    <w:name w:val="Default"/>
    <w:basedOn w:val="Normal"/>
    <w:rsid w:val="004C51F5"/>
    <w:pPr>
      <w:autoSpaceDE w:val="0"/>
      <w:autoSpaceDN w:val="0"/>
      <w:spacing w:after="0" w:line="240" w:lineRule="auto"/>
    </w:pPr>
    <w:rPr>
      <w:rFonts w:ascii="Arial" w:eastAsiaTheme="minorHAnsi" w:hAnsi="Arial" w:cs="Arial"/>
      <w:color w:val="000000"/>
      <w:sz w:val="24"/>
      <w:szCs w:val="24"/>
      <w:lang w:val="fr-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saiinternation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saiinternationa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sVEja+PwbdqoKG3H8cYxBefD8Q==">AMUW2mW5leFNn7Ar0hoaxKQd5CaX4RijV/9EmChGQSMb/B43jPfU25HQ2jnFmqVXi53IkDhvkOBiRZJOLaq9KftMyK0D+hiCBU+NmHM8sNI4lmcRMhd2lT/xulRzCKeZ8+TETcM9l+tTlkY+VR1bgh6w5TJMa7UB3IhE8YRX9hZK5U5buMRm+YOqTlsbeQ2OMQl40KWkrBKPRQq+K4uIuJQ4xRUejfqaHWp9X4uBQ1u41wMs6v7/xcdppEy3PGpXc9L3+VR+9B4GpQBdfcJVL9JVEO1i3dWx2+VlAs+VKQLb4UNchQnkDLVL8vH3OrhZDi6xpQAYaoz3En1SimP3lOhLSWnmqYxJK4DRNIAijgyn4frS71PqNK5dVwQi+yEtnS/mHfhTz7L7sIQJl4/eg8kLlo1OOiswaUJqZfOvTxkBlPYxy7vpwPd8WOePQ2/4saDKq9tT03CLgCjoYW3/pBK1r9lWG6nqd5e0m88vuN3+2WimekOS0BArmMXAzDmB2irtsdhbKuBlfQBInvHD/NOg4v+1CiK6unjMk67lU2dXPm+DnYI8UvsG+2dgcj4IUmQM8oyKu+eWlPu/oMpvi3SEjblodLeTZDWcNR+sZORngW/1wnHhjb20G6xLKktb5qynEruunrTGIXsAE2MRTDmISZZpNcgCbh6iE5dnO6cl4H5feR1Tc+K49K1za8GNOeZDg6v9mXLll2SASK1z5lLIv5yOYsynyskM+vGuH9NgnqsqhyrPlWV57E5chK/u+C2A78/MPMvmp++QOoAmLWQopoH1SZ09T2IkAVOLSAsMIl1zr39dRoJL9MjUZYX14/DobzoZwdC3P2ZNzrk6je28/6yaxgSPHcyQNP3FGdfhce9UqrRvoMeLaR8znrV8dELN76IW9V7u5iF6GH9fFQADmxlxpXWmE/VP0xbVzSgIgI+8ESPh5+D/8Xf/WcUzalwKpLpOosELoA9UcRkkvSfDmpXggyI0u7dnDWyjX9sAQ2FUkNYf6a5EwIA+MOZSkKTWNiYgO5FkHyV8jWyRn9xd14hy68xaZ8l0sz0gq8bLgc3GZ3HtR6CTB8mMNvETTcUAEdHQWGf8t8nJSavPM4AvhTMo4LBD/5dBBNifhMLYCQ5YD2/8R5/bfbWmHA8mevl8rLFhOWBDvNd2++Hohn18EGX95ENbRcxYVE4nxJn67otJNHSTaxyto7BuEdmWhCo3aNKdURwAGZTQU1qIjv2ITwIRIcrcZNUNFoyUboiDW+zR6wrK+WYz9U/nm2HVV4oJr2HzBC3UI9owb9vqd4hA4GVomhT9MKNDwzlUhcOlZW7GpvXyY1BE9fkvdgMkROivLBaE0JC6RjEuDdtAlVJn3UoWNwi045v2KW3JH5h3jabvmRUijl4rMueaLKPLvueKVlJHnGi0uRs0V1Chnkp4b940dQYcwY5ieuB4emzTUkbnxUQTBenJR7tSFL1BXmkipYgMf+L7tykdLxJwZeHeeTwVjfkV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Knecht</dc:creator>
  <cp:lastModifiedBy>Melanie Labelle</cp:lastModifiedBy>
  <cp:revision>2</cp:revision>
  <dcterms:created xsi:type="dcterms:W3CDTF">2023-05-19T21:38:00Z</dcterms:created>
  <dcterms:modified xsi:type="dcterms:W3CDTF">2023-05-19T21:38:00Z</dcterms:modified>
</cp:coreProperties>
</file>